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F684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Date: </w:t>
      </w:r>
    </w:p>
    <w:p w14:paraId="6BD30EC7" w14:textId="5E34F361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Sunday</w:t>
      </w: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December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3, 2020</w:t>
      </w:r>
    </w:p>
    <w:p w14:paraId="3BCFFC8B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Club: </w:t>
      </w:r>
    </w:p>
    <w:p w14:paraId="35183ADC" w14:textId="77777777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WCOC</w:t>
      </w:r>
    </w:p>
    <w:p w14:paraId="7D96E601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Level: </w:t>
      </w:r>
    </w:p>
    <w:p w14:paraId="2102BDA2" w14:textId="77777777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</w:p>
    <w:p w14:paraId="0131C0B4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Type: </w:t>
      </w:r>
    </w:p>
    <w:p w14:paraId="6CBA6C7D" w14:textId="5B0D49B5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Limited Colour coded</w:t>
      </w:r>
    </w:p>
    <w:p w14:paraId="46E0F2F8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Location: </w:t>
      </w:r>
    </w:p>
    <w:p w14:paraId="3ED5E757" w14:textId="029A26CF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Threlkeld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Common</w:t>
      </w:r>
    </w:p>
    <w:p w14:paraId="2F18C6E1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Grid Reference: </w:t>
      </w:r>
    </w:p>
    <w:p w14:paraId="6EA18054" w14:textId="44C504CF" w:rsid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NY325246 </w:t>
      </w:r>
    </w:p>
    <w:p w14:paraId="5556616C" w14:textId="5436D1CD" w:rsid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CA12 4TR</w:t>
      </w:r>
    </w:p>
    <w:p w14:paraId="5FFF076C" w14:textId="246FC33B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Parking: </w:t>
      </w:r>
    </w:p>
    <w:p w14:paraId="286FBF80" w14:textId="377D0481" w:rsidR="0051409B" w:rsidRDefault="0051409B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Threlkeld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Quarry. Signed from the B5322 St John’s in the Vale Road. We are using the lower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Threlkeld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quarry car park and the </w:t>
      </w:r>
      <w:r w:rsidR="005009E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area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around Kong. This is because </w:t>
      </w:r>
      <w:r w:rsidR="005009E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upper car park is being used by families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doing the Santa Special on the </w:t>
      </w:r>
      <w:r w:rsidR="005009E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steam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train.</w:t>
      </w:r>
    </w:p>
    <w:p w14:paraId="4F4B6FE4" w14:textId="6B089BB2" w:rsidR="0051409B" w:rsidRDefault="0051409B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Please keep off the old quarry machinery</w:t>
      </w:r>
    </w:p>
    <w:p w14:paraId="34D698D0" w14:textId="2AE94D14" w:rsidR="0051409B" w:rsidRDefault="0051409B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There is a charge of £1 per car. Please put your money in the pot at registration</w:t>
      </w:r>
    </w:p>
    <w:p w14:paraId="24103C9B" w14:textId="4F862290" w:rsidR="000A6184" w:rsidRPr="0051409B" w:rsidRDefault="000A6184" w:rsidP="000A61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Start/Finish</w:t>
      </w: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: </w:t>
      </w:r>
    </w:p>
    <w:p w14:paraId="533EB94D" w14:textId="491A4DFC" w:rsidR="000A6184" w:rsidRDefault="000A6184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start and finish are about 500m from registration. These are not on the usual route out of the quarry but will be tapped along a lower route out of the quarry toward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Newsham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5009E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There are 2 starts about 50m apart. The higher one for Brown and Blue and the lower one for the remaining courses</w:t>
      </w:r>
    </w:p>
    <w:p w14:paraId="621266FE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Dogs: </w:t>
      </w:r>
    </w:p>
    <w:p w14:paraId="770601C6" w14:textId="77777777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No dogs on the courses</w:t>
      </w:r>
    </w:p>
    <w:p w14:paraId="71D0209C" w14:textId="4E5A29DB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Entries: </w:t>
      </w:r>
    </w:p>
    <w:p w14:paraId="58800631" w14:textId="74049531" w:rsidR="0051409B" w:rsidRDefault="0051409B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NO ENTRY ON THE DAY - PRE-ENTRIES ONLY</w:t>
      </w:r>
    </w:p>
    <w:p w14:paraId="6EDC6272" w14:textId="6F7F24E0" w:rsidR="0051409B" w:rsidRDefault="005009E1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Entries</w:t>
      </w:r>
      <w:r w:rsid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using SI entries, this will be open soon and close on the Thursday (10</w:t>
      </w:r>
      <w:r w:rsidR="0051409B" w:rsidRPr="005140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Dec) at 23:59</w:t>
      </w:r>
    </w:p>
    <w:p w14:paraId="3A985E53" w14:textId="48C855E5" w:rsidR="005009E1" w:rsidRPr="0051409B" w:rsidRDefault="005009E1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Senior £7, Junior £3</w:t>
      </w:r>
    </w:p>
    <w:p w14:paraId="6FA7BABA" w14:textId="77777777" w:rsidR="0051409B" w:rsidRPr="0051409B" w:rsidRDefault="0051409B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will be NO dibbers available on the day, please contact Dave Fenwick on: davfen44 ( use @ here) yahoo.co.uk if you'd like to request a dibber posted to you (free of charge for the duration of </w:t>
      </w:r>
      <w:proofErr w:type="spellStart"/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Covid</w:t>
      </w:r>
      <w:proofErr w:type="spellEnd"/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4A638140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Courses: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51"/>
        <w:gridCol w:w="696"/>
        <w:gridCol w:w="641"/>
      </w:tblGrid>
      <w:tr w:rsidR="0051409B" w14:paraId="4BA1E297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C18CA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FC396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Controls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F5943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03E46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Climb</w:t>
            </w:r>
          </w:p>
        </w:tc>
      </w:tr>
      <w:tr w:rsidR="0051409B" w14:paraId="3EF7083E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E888F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9974A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DB458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8.3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C723B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300 m</w:t>
            </w:r>
          </w:p>
        </w:tc>
      </w:tr>
      <w:tr w:rsidR="0051409B" w14:paraId="1A455194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3FEF4" w14:textId="3D685E9E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8949C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9E078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5.9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50D1F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210 m</w:t>
            </w:r>
          </w:p>
        </w:tc>
      </w:tr>
      <w:tr w:rsidR="0051409B" w14:paraId="4B4E846A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76338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64DFB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A9317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4.4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9AB54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160 m</w:t>
            </w:r>
          </w:p>
        </w:tc>
      </w:tr>
      <w:tr w:rsidR="0051409B" w14:paraId="06E557EA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ABA9D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Short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5E649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062C6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3.4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A211F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125 m</w:t>
            </w:r>
          </w:p>
        </w:tc>
      </w:tr>
      <w:tr w:rsidR="0051409B" w14:paraId="21AEB544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A6195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Light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E6619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FA62D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2.8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6BEB4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140 m</w:t>
            </w:r>
          </w:p>
        </w:tc>
      </w:tr>
      <w:tr w:rsidR="0051409B" w14:paraId="551EF189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CBC2F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C1FAE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8306D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2.2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693BF" w14:textId="77777777" w:rsidR="0051409B" w:rsidRDefault="0051409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120 m</w:t>
            </w:r>
          </w:p>
        </w:tc>
      </w:tr>
      <w:tr w:rsidR="000A6184" w14:paraId="54150EA5" w14:textId="77777777" w:rsidTr="0051409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9FE8D" w14:textId="7C434D59" w:rsidR="000A6184" w:rsidRDefault="000A618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73466" w14:textId="77777777" w:rsidR="000A6184" w:rsidRDefault="000A618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20A57" w14:textId="77777777" w:rsidR="000A6184" w:rsidRDefault="000A618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38AEB" w14:textId="77777777" w:rsidR="000A6184" w:rsidRDefault="000A618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08F9C75C" w14:textId="14501127" w:rsidR="000A6184" w:rsidRDefault="000A6184" w:rsidP="000A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Brown and Blue use a 1:10,000 map</w:t>
      </w:r>
      <w:r w:rsidR="005009E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other courses have a 1:7,500 map</w:t>
      </w:r>
    </w:p>
    <w:p w14:paraId="4678645F" w14:textId="13AF5EE4" w:rsidR="005009E1" w:rsidRDefault="005009E1" w:rsidP="000A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D80427" w14:textId="6BD4EC3D" w:rsidR="005009E1" w:rsidRPr="0051409B" w:rsidRDefault="005009E1" w:rsidP="000A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Unfortunately it was impossible to plan a suitable Yellow course.</w:t>
      </w:r>
    </w:p>
    <w:p w14:paraId="61D9864E" w14:textId="0F7D7413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Start Times: </w:t>
      </w:r>
    </w:p>
    <w:p w14:paraId="71024F40" w14:textId="6C37D1EA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10:30 -12:00</w:t>
      </w:r>
    </w:p>
    <w:p w14:paraId="00A74031" w14:textId="77777777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Courses Close: </w:t>
      </w:r>
    </w:p>
    <w:p w14:paraId="2B5647AE" w14:textId="36F5549C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51409B">
        <w:rPr>
          <w:rFonts w:ascii="Times New Roman" w:eastAsia="Times New Roman" w:hAnsi="Times New Roman" w:cs="Times New Roman"/>
          <w:sz w:val="24"/>
          <w:szCs w:val="24"/>
          <w:lang w:eastAsia="en-GB"/>
        </w:rPr>
        <w:t>:00 pm</w:t>
      </w:r>
    </w:p>
    <w:p w14:paraId="2808BAAD" w14:textId="5329AB99" w:rsidR="0051409B" w:rsidRP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Planner</w:t>
      </w:r>
      <w:r w:rsidR="005009E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and Mapper</w:t>
      </w: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: </w:t>
      </w:r>
    </w:p>
    <w:p w14:paraId="71EE435E" w14:textId="63576E24" w:rsidR="0051409B" w:rsidRPr="0051409B" w:rsidRDefault="0051409B" w:rsidP="0051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Steve Birkinshaw</w:t>
      </w:r>
    </w:p>
    <w:p w14:paraId="5C9B5E67" w14:textId="52228B06" w:rsidR="0051409B" w:rsidRDefault="0051409B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1409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Other Notes: </w:t>
      </w:r>
    </w:p>
    <w:p w14:paraId="123C4DEF" w14:textId="73A11A70" w:rsidR="005009E1" w:rsidRPr="0051409B" w:rsidRDefault="005009E1" w:rsidP="00514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09E1">
        <w:rPr>
          <w:rFonts w:ascii="Times New Roman" w:eastAsia="Times New Roman" w:hAnsi="Times New Roman" w:cs="Times New Roman"/>
          <w:sz w:val="24"/>
          <w:szCs w:val="24"/>
          <w:lang w:eastAsia="en-GB"/>
        </w:rPr>
        <w:t>Whistles and Waterproofs may be compulsory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4812FCAD" w14:textId="06802B3C" w:rsidR="0051409B" w:rsidRDefault="0051409B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event is taking place on</w:t>
      </w:r>
      <w:r w:rsidR="000A61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A6184">
        <w:rPr>
          <w:rFonts w:ascii="Times New Roman" w:eastAsia="Times New Roman" w:hAnsi="Times New Roman" w:cs="Times New Roman"/>
          <w:sz w:val="24"/>
          <w:szCs w:val="24"/>
          <w:lang w:eastAsia="en-GB"/>
        </w:rPr>
        <w:t>Threlkeld</w:t>
      </w:r>
      <w:proofErr w:type="spellEnd"/>
      <w:r w:rsidR="005009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Common</w:t>
      </w:r>
      <w:r w:rsidR="005F7E3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r w:rsidR="000A6184">
        <w:rPr>
          <w:rFonts w:ascii="Times New Roman" w:eastAsia="Times New Roman" w:hAnsi="Times New Roman" w:cs="Times New Roman"/>
          <w:sz w:val="24"/>
          <w:szCs w:val="24"/>
          <w:lang w:eastAsia="en-GB"/>
        </w:rPr>
        <w:t>new area for orienteering. Below are the mapper/planner notes</w:t>
      </w:r>
    </w:p>
    <w:p w14:paraId="30DB51BD" w14:textId="55A0C92A" w:rsidR="000A6184" w:rsidRDefault="000A6184" w:rsidP="000A61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area is boggy. Be prepared for wet and possibly cold feet</w:t>
      </w:r>
    </w:p>
    <w:p w14:paraId="14523F4E" w14:textId="37FC10FB" w:rsidR="000A6184" w:rsidRDefault="000A6184" w:rsidP="000A61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Potentially most of the area could be mapped as marsh. However, marsh is generally only mapped where it affects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runability</w:t>
      </w:r>
      <w:proofErr w:type="spellEnd"/>
    </w:p>
    <w:p w14:paraId="5C24382F" w14:textId="4A90E046" w:rsidR="000A6184" w:rsidRDefault="000A6184" w:rsidP="000A61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a lot of boulders. If they are bigger than </w:t>
      </w:r>
      <w:r w:rsidR="005009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around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0.6-0.8m they are mapped</w:t>
      </w:r>
    </w:p>
    <w:p w14:paraId="6F7A82B2" w14:textId="1D1623DD" w:rsidR="000A6184" w:rsidRDefault="000A6184" w:rsidP="000A61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areas of fast open are short grass and are useful for navigating</w:t>
      </w:r>
    </w:p>
    <w:p w14:paraId="756A96EB" w14:textId="6646AA81" w:rsidR="000A6184" w:rsidRDefault="000A6184" w:rsidP="000A61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Lidar and aerial imagery has been used to map the area so </w:t>
      </w:r>
      <w:r w:rsidR="005009E1">
        <w:rPr>
          <w:rFonts w:ascii="Times New Roman" w:eastAsia="Times New Roman" w:hAnsi="Times New Roman" w:cs="Times New Roman"/>
          <w:sz w:val="24"/>
          <w:szCs w:val="24"/>
          <w:lang w:eastAsia="en-GB"/>
        </w:rPr>
        <w:t>any mapped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features are in the correct places. </w:t>
      </w:r>
    </w:p>
    <w:p w14:paraId="1A8771CC" w14:textId="719D1904" w:rsidR="005009E1" w:rsidRPr="000A6184" w:rsidRDefault="005009E1" w:rsidP="000A61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Most of the features are vague, relocation is very difficult</w:t>
      </w:r>
    </w:p>
    <w:p w14:paraId="558BFA23" w14:textId="7AAD1309" w:rsidR="000A6184" w:rsidRDefault="000A6184" w:rsidP="0051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0A618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5CC04D0F" wp14:editId="58591DFA">
            <wp:extent cx="2819794" cy="203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16BCC"/>
    <w:multiLevelType w:val="hybridMultilevel"/>
    <w:tmpl w:val="59FEC9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B"/>
    <w:rsid w:val="000A6184"/>
    <w:rsid w:val="005009E1"/>
    <w:rsid w:val="0051409B"/>
    <w:rsid w:val="005F7E39"/>
    <w:rsid w:val="006D4082"/>
    <w:rsid w:val="00BD0E0C"/>
    <w:rsid w:val="00CD70C8"/>
    <w:rsid w:val="00D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F3B2"/>
  <w15:chartTrackingRefBased/>
  <w15:docId w15:val="{538F501D-42EA-4312-A27B-761A5DE5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0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-display-single">
    <w:name w:val="date-display-single"/>
    <w:basedOn w:val="DefaultParagraphFont"/>
    <w:rsid w:val="0051409B"/>
  </w:style>
  <w:style w:type="character" w:customStyle="1" w:styleId="submitted-by">
    <w:name w:val="submitted-by"/>
    <w:basedOn w:val="DefaultParagraphFont"/>
    <w:rsid w:val="0051409B"/>
  </w:style>
  <w:style w:type="paragraph" w:styleId="NormalWeb">
    <w:name w:val="Normal (Web)"/>
    <w:basedOn w:val="Normal"/>
    <w:uiPriority w:val="99"/>
    <w:semiHidden/>
    <w:unhideWhenUsed/>
    <w:rsid w:val="0051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40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2020-12-02T20:53:00Z</dcterms:created>
  <dcterms:modified xsi:type="dcterms:W3CDTF">2020-12-02T20:53:00Z</dcterms:modified>
</cp:coreProperties>
</file>